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301FE095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07158A">
        <w:rPr>
          <w:b/>
          <w:bCs/>
          <w:szCs w:val="22"/>
        </w:rPr>
        <w:t xml:space="preserve">Klamath Ranch </w:t>
      </w:r>
      <w:r w:rsidR="00924E3C" w:rsidRPr="00CE77E9">
        <w:rPr>
          <w:b/>
          <w:bCs/>
          <w:szCs w:val="22"/>
        </w:rPr>
        <w:t>Quarry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07158A">
        <w:rPr>
          <w:b/>
          <w:bCs/>
          <w:szCs w:val="22"/>
        </w:rPr>
        <w:t>09-07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19896329" w:rsidR="00D22022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07158A">
        <w:rPr>
          <w:rFonts w:eastAsia="Calibri" w:cs="Times New Roman"/>
          <w:szCs w:val="22"/>
        </w:rPr>
        <w:t>December 2, 2009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07158A">
        <w:rPr>
          <w:rFonts w:eastAsia="Calibri" w:cs="Times New Roman"/>
          <w:szCs w:val="22"/>
        </w:rPr>
        <w:t>Klamath Ranch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07158A">
        <w:rPr>
          <w:rFonts w:eastAsia="Calibri" w:cs="Times New Roman"/>
          <w:szCs w:val="22"/>
        </w:rPr>
        <w:t>09-07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4EA5811D" w14:textId="21D2D41B" w:rsidR="0007158A" w:rsidRPr="00CE77E9" w:rsidRDefault="0007158A" w:rsidP="0007158A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</w:t>
      </w:r>
      <w:r>
        <w:rPr>
          <w:rFonts w:eastAsia="Calibri" w:cs="Times New Roman"/>
          <w:szCs w:val="22"/>
        </w:rPr>
        <w:t>conditions of approval were not met and a two year time extension was requested and granted by the Planning Commission on January 18, 2012,</w:t>
      </w:r>
      <w:r w:rsidR="00315228">
        <w:rPr>
          <w:rFonts w:eastAsia="Calibri" w:cs="Times New Roman"/>
          <w:szCs w:val="22"/>
        </w:rPr>
        <w:t xml:space="preserve"> </w:t>
      </w:r>
      <w:r>
        <w:rPr>
          <w:rFonts w:eastAsia="Calibri" w:cs="Times New Roman"/>
          <w:szCs w:val="22"/>
        </w:rPr>
        <w:t>extending the end date to December 2, 2013</w:t>
      </w:r>
      <w:r w:rsidRPr="00CE77E9">
        <w:rPr>
          <w:rFonts w:eastAsia="Calibri" w:cs="Times New Roman"/>
          <w:szCs w:val="22"/>
        </w:rPr>
        <w:t>; and</w:t>
      </w:r>
    </w:p>
    <w:p w14:paraId="0C1B9ADA" w14:textId="67489FA8" w:rsidR="00CE77E9" w:rsidRDefault="00CE77E9" w:rsidP="0007158A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</w:t>
      </w:r>
      <w:r w:rsidR="0007158A">
        <w:rPr>
          <w:rFonts w:eastAsia="Calibri" w:cs="Times New Roman"/>
          <w:szCs w:val="22"/>
        </w:rPr>
        <w:t xml:space="preserve">conditions of approval were not met and commercial </w:t>
      </w:r>
      <w:r w:rsidRPr="00CE77E9">
        <w:rPr>
          <w:rFonts w:eastAsia="Calibri" w:cs="Times New Roman"/>
          <w:szCs w:val="22"/>
        </w:rPr>
        <w:t>mining operations</w:t>
      </w:r>
      <w:r w:rsidR="0007158A">
        <w:rPr>
          <w:rFonts w:eastAsia="Calibri" w:cs="Times New Roman"/>
          <w:szCs w:val="22"/>
        </w:rPr>
        <w:t xml:space="preserve"> were</w:t>
      </w:r>
      <w:r w:rsidRPr="00CE77E9">
        <w:rPr>
          <w:rFonts w:eastAsia="Calibri" w:cs="Times New Roman"/>
          <w:szCs w:val="22"/>
        </w:rPr>
        <w:t xml:space="preserve"> </w:t>
      </w:r>
      <w:r w:rsidR="0007158A">
        <w:rPr>
          <w:rFonts w:eastAsia="Calibri" w:cs="Times New Roman"/>
          <w:szCs w:val="22"/>
        </w:rPr>
        <w:t>never established</w:t>
      </w:r>
      <w:r w:rsidRPr="00CE77E9">
        <w:rPr>
          <w:rFonts w:eastAsia="Calibri" w:cs="Times New Roman"/>
          <w:szCs w:val="22"/>
        </w:rPr>
        <w:t>; and</w:t>
      </w:r>
    </w:p>
    <w:p w14:paraId="663AC195" w14:textId="0ED70E01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07158A">
        <w:rPr>
          <w:rFonts w:eastAsia="Calibri" w:cs="Times New Roman"/>
          <w:szCs w:val="22"/>
        </w:rPr>
        <w:t>09-07</w:t>
      </w:r>
      <w:r>
        <w:rPr>
          <w:rFonts w:eastAsia="Calibri" w:cs="Times New Roman"/>
          <w:szCs w:val="22"/>
        </w:rPr>
        <w:t xml:space="preserve">, the use permit was effective only until </w:t>
      </w:r>
      <w:r w:rsidR="0007158A">
        <w:rPr>
          <w:rFonts w:eastAsia="Calibri" w:cs="Times New Roman"/>
          <w:szCs w:val="22"/>
        </w:rPr>
        <w:t>December 2, 2013</w:t>
      </w:r>
      <w:r>
        <w:rPr>
          <w:rFonts w:eastAsia="Calibri" w:cs="Times New Roman"/>
          <w:szCs w:val="22"/>
        </w:rPr>
        <w:t>, and</w:t>
      </w:r>
    </w:p>
    <w:p w14:paraId="0A70389B" w14:textId="3D0D0CA8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</w:t>
      </w:r>
      <w:r w:rsidR="00E24326">
        <w:rPr>
          <w:rFonts w:eastAsia="Calibri" w:cs="Times New Roman"/>
          <w:szCs w:val="22"/>
        </w:rPr>
        <w:t>was never established</w:t>
      </w:r>
      <w:r w:rsidRPr="00CE77E9">
        <w:rPr>
          <w:rFonts w:eastAsia="Calibri" w:cs="Times New Roman"/>
          <w:szCs w:val="22"/>
        </w:rPr>
        <w:t>, the permit should be formally revoked; and</w:t>
      </w:r>
    </w:p>
    <w:p w14:paraId="35E5EF6C" w14:textId="6C3A7002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proofErr w:type="gramStart"/>
      <w:r w:rsidRPr="0048661B">
        <w:rPr>
          <w:rFonts w:eastAsia="Calibri" w:cs="Times New Roman"/>
          <w:b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315228" w:rsidRPr="00315228">
        <w:rPr>
          <w:rFonts w:eastAsia="Calibri" w:cs="Times New Roman"/>
          <w:szCs w:val="22"/>
        </w:rPr>
        <w:t>November 27, 2024</w:t>
      </w:r>
      <w:r w:rsidRPr="00315228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48661B">
        <w:rPr>
          <w:rFonts w:eastAsia="Calibri" w:cs="Times New Roman"/>
          <w:b/>
          <w:bCs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4EA32AC3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</w:t>
      </w:r>
      <w:proofErr w:type="gramEnd"/>
      <w:r w:rsidRPr="00CE77E9">
        <w:rPr>
          <w:rFonts w:eastAsia="Calibri" w:cs="Times New Roman"/>
          <w:szCs w:val="22"/>
        </w:rPr>
        <w:t xml:space="preserve"> notification of the Community Development Department’s intent to seek revocation of UP-</w:t>
      </w:r>
      <w:r w:rsidR="00E24326">
        <w:rPr>
          <w:rFonts w:eastAsia="Calibri" w:cs="Times New Roman"/>
          <w:szCs w:val="22"/>
        </w:rPr>
        <w:t>09-07</w:t>
      </w:r>
      <w:r w:rsidRPr="00CE77E9">
        <w:rPr>
          <w:rFonts w:eastAsia="Calibri" w:cs="Times New Roman"/>
          <w:szCs w:val="22"/>
        </w:rPr>
        <w:t xml:space="preserve"> 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E24326">
        <w:rPr>
          <w:rFonts w:eastAsia="Calibri" w:cs="Times New Roman"/>
          <w:szCs w:val="22"/>
        </w:rPr>
        <w:t>09-07</w:t>
      </w:r>
      <w:r w:rsidRPr="00CE77E9">
        <w:rPr>
          <w:rFonts w:eastAsia="Calibri" w:cs="Times New Roman"/>
          <w:szCs w:val="22"/>
        </w:rPr>
        <w:t>; and</w:t>
      </w:r>
    </w:p>
    <w:p w14:paraId="1990D614" w14:textId="32B02053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E24326">
        <w:rPr>
          <w:rFonts w:eastAsia="Calibri" w:cs="Times New Roman"/>
          <w:szCs w:val="22"/>
        </w:rPr>
        <w:t xml:space="preserve">Klamath Ranch </w:t>
      </w:r>
      <w:r w:rsidR="00CE77E9" w:rsidRPr="00CE77E9">
        <w:rPr>
          <w:rFonts w:eastAsia="Calibri" w:cs="Times New Roman"/>
          <w:szCs w:val="22"/>
        </w:rPr>
        <w:t>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E24326">
        <w:rPr>
          <w:rFonts w:eastAsia="Calibri" w:cs="Times New Roman"/>
          <w:szCs w:val="22"/>
        </w:rPr>
        <w:t>09-07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6E6B5FCD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E24326">
        <w:rPr>
          <w:rFonts w:eastAsia="Calibri" w:cs="Times New Roman"/>
          <w:szCs w:val="22"/>
        </w:rPr>
        <w:t>Klamath Ranch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E24326">
        <w:rPr>
          <w:rFonts w:eastAsia="Calibri" w:cs="Times New Roman"/>
          <w:szCs w:val="22"/>
        </w:rPr>
        <w:t>Klamath Ranch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="000515EF" w:rsidRPr="00CE77E9">
        <w:rPr>
          <w:rFonts w:eastAsia="Calibri" w:cs="Times New Roman"/>
          <w:szCs w:val="22"/>
        </w:rPr>
        <w:t xml:space="preserve"> 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 recommend revocation of UP-0</w:t>
      </w:r>
      <w:r w:rsidR="00E24326">
        <w:rPr>
          <w:rFonts w:eastAsia="Calibri" w:cs="Times New Roman"/>
          <w:szCs w:val="22"/>
        </w:rPr>
        <w:t>9-07</w:t>
      </w:r>
      <w:r w:rsidR="00BB6067">
        <w:rPr>
          <w:rFonts w:eastAsia="Calibri" w:cs="Times New Roman"/>
          <w:szCs w:val="22"/>
        </w:rPr>
        <w:t xml:space="preserve"> and adopting Planning Commission Resolution 2024-01</w:t>
      </w:r>
      <w:r w:rsidR="00E24326">
        <w:rPr>
          <w:rFonts w:eastAsia="Calibri" w:cs="Times New Roman"/>
          <w:szCs w:val="22"/>
        </w:rPr>
        <w:t>6</w:t>
      </w:r>
      <w:r w:rsidR="00BB6067">
        <w:rPr>
          <w:rFonts w:eastAsia="Calibri" w:cs="Times New Roman"/>
          <w:szCs w:val="22"/>
        </w:rPr>
        <w:t xml:space="preserve"> so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6EE5E322" w:rsidR="00C631EB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E24326">
        <w:rPr>
          <w:rFonts w:eastAsia="Calibri" w:cs="Times New Roman"/>
          <w:szCs w:val="22"/>
        </w:rPr>
        <w:t>Klamath Ranch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2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472A5A0B" w14:textId="3ECD20D4" w:rsidR="00E24326" w:rsidRPr="00E24326" w:rsidRDefault="00E24326" w:rsidP="00E24326">
      <w:pPr>
        <w:tabs>
          <w:tab w:val="left" w:pos="1890"/>
        </w:tabs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ab/>
      </w:r>
    </w:p>
    <w:p w14:paraId="07B5923D" w14:textId="30F7009F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lastRenderedPageBreak/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E24326">
        <w:rPr>
          <w:rFonts w:eastAsia="Calibri" w:cs="Times New Roman"/>
          <w:szCs w:val="22"/>
        </w:rPr>
        <w:t xml:space="preserve">Klamath Ranch </w:t>
      </w:r>
      <w:r w:rsidR="00CE77E9" w:rsidRPr="00CE77E9">
        <w:rPr>
          <w:rFonts w:eastAsia="Calibri" w:cs="Times New Roman"/>
          <w:szCs w:val="22"/>
        </w:rPr>
        <w:t>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5BB7D0B3" w14:textId="060A06D5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E24326">
        <w:rPr>
          <w:rFonts w:eastAsia="Calibri" w:cs="Times New Roman"/>
          <w:szCs w:val="22"/>
        </w:rPr>
        <w:t xml:space="preserve">Klamath Ranch </w:t>
      </w:r>
      <w:r w:rsidR="00CE77E9" w:rsidRPr="00CE77E9">
        <w:rPr>
          <w:rFonts w:eastAsia="Calibri" w:cs="Times New Roman"/>
          <w:szCs w:val="22"/>
        </w:rPr>
        <w:t>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E24326">
        <w:rPr>
          <w:rFonts w:eastAsia="Calibri" w:cs="Times New Roman"/>
          <w:szCs w:val="22"/>
        </w:rPr>
        <w:t>Klamath Ranch</w:t>
      </w:r>
      <w:r w:rsidR="00CE77E9" w:rsidRPr="00CE77E9">
        <w:rPr>
          <w:rFonts w:eastAsia="Calibri" w:cs="Times New Roman"/>
          <w:szCs w:val="22"/>
        </w:rPr>
        <w:t xml:space="preserve"> Quarry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CE77E9" w:rsidRPr="00CE77E9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7B784AB9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044AD3">
        <w:rPr>
          <w:rFonts w:eastAsia="Calibri" w:cs="Times New Roman"/>
          <w:b/>
          <w:szCs w:val="22"/>
        </w:rPr>
        <w:t>Whereas,</w:t>
      </w:r>
      <w:proofErr w:type="gramEnd"/>
      <w:r w:rsidRPr="00044AD3">
        <w:rPr>
          <w:rFonts w:eastAsia="Calibri" w:cs="Times New Roman"/>
          <w:szCs w:val="22"/>
        </w:rPr>
        <w:t xml:space="preserve"> the Planning Division recommended </w:t>
      </w:r>
      <w:r w:rsidR="00E24326">
        <w:rPr>
          <w:rFonts w:eastAsia="Calibri" w:cs="Times New Roman"/>
          <w:szCs w:val="22"/>
        </w:rPr>
        <w:t>Klamath Ranch</w:t>
      </w:r>
      <w:r w:rsidR="00044AD3" w:rsidRPr="00044AD3">
        <w:rPr>
          <w:rFonts w:eastAsia="Calibri" w:cs="Times New Roman"/>
          <w:szCs w:val="22"/>
        </w:rPr>
        <w:t xml:space="preserve"> Quarry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044AD3" w:rsidRPr="00044AD3">
        <w:rPr>
          <w:rFonts w:eastAsia="Calibri" w:cs="Times New Roman"/>
          <w:szCs w:val="22"/>
        </w:rPr>
        <w:t>0</w:t>
      </w:r>
      <w:r w:rsidR="00E24326">
        <w:rPr>
          <w:rFonts w:eastAsia="Calibri" w:cs="Times New Roman"/>
          <w:szCs w:val="22"/>
        </w:rPr>
        <w:t>9-07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44BDA464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E24326">
        <w:rPr>
          <w:szCs w:val="22"/>
        </w:rPr>
        <w:t>Klamath Ranch</w:t>
      </w:r>
      <w:r w:rsidR="0048661B" w:rsidRPr="0048661B">
        <w:rPr>
          <w:szCs w:val="22"/>
        </w:rPr>
        <w:t xml:space="preserve"> Quarry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48661B" w:rsidRPr="00044AD3">
        <w:rPr>
          <w:szCs w:val="22"/>
        </w:rPr>
        <w:t>0</w:t>
      </w:r>
      <w:r w:rsidR="00E24326">
        <w:rPr>
          <w:szCs w:val="22"/>
        </w:rPr>
        <w:t>9-07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3E674398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48661B" w:rsidRPr="00044AD3">
        <w:rPr>
          <w:szCs w:val="22"/>
        </w:rPr>
        <w:t>0</w:t>
      </w:r>
      <w:r w:rsidR="00E24326">
        <w:rPr>
          <w:szCs w:val="22"/>
        </w:rPr>
        <w:t>9-07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1F866C18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360EE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360EE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proofErr w:type="gramStart"/>
      <w:r w:rsidRPr="0048661B">
        <w:t>By:_</w:t>
      </w:r>
      <w:proofErr w:type="gramEnd"/>
      <w:r w:rsidRPr="0048661B">
        <w:t>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57BAB77C" w:rsidR="003B0096" w:rsidRPr="002F07B1" w:rsidRDefault="00E24326">
    <w:pPr>
      <w:pStyle w:val="Footer"/>
      <w:rPr>
        <w:sz w:val="20"/>
        <w:szCs w:val="20"/>
      </w:rPr>
    </w:pPr>
    <w:r>
      <w:rPr>
        <w:sz w:val="20"/>
        <w:szCs w:val="20"/>
      </w:rPr>
      <w:t>Klamath Ranch</w:t>
    </w:r>
    <w:r w:rsidR="002F07B1">
      <w:rPr>
        <w:sz w:val="20"/>
        <w:szCs w:val="20"/>
      </w:rPr>
      <w:t xml:space="preserve"> </w:t>
    </w:r>
    <w:r w:rsidR="002F07B1" w:rsidRPr="00044AD3">
      <w:rPr>
        <w:sz w:val="20"/>
        <w:szCs w:val="20"/>
      </w:rPr>
      <w:t>Quarry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 w:rsidR="00044AD3" w:rsidRPr="00044AD3">
      <w:rPr>
        <w:sz w:val="20"/>
        <w:szCs w:val="20"/>
      </w:rPr>
      <w:t>0</w:t>
    </w:r>
    <w:r>
      <w:rPr>
        <w:sz w:val="20"/>
        <w:szCs w:val="20"/>
      </w:rPr>
      <w:t>9-07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58A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15228"/>
    <w:rsid w:val="00322B7C"/>
    <w:rsid w:val="00360EE7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22CE2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04F56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50259"/>
    <w:rsid w:val="00D54476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24326"/>
    <w:rsid w:val="00E424AA"/>
    <w:rsid w:val="00E43126"/>
    <w:rsid w:val="00E457BE"/>
    <w:rsid w:val="00E76705"/>
    <w:rsid w:val="00E946F9"/>
    <w:rsid w:val="00EA5807"/>
    <w:rsid w:val="00EB3E80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2024-11-04T17:46:00Z</dcterms:created>
  <dcterms:modified xsi:type="dcterms:W3CDTF">2024-11-25T22:43:00Z</dcterms:modified>
</cp:coreProperties>
</file>